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51" w:rsidRDefault="00D55626" w:rsidP="006A7D5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ОБЩЕСТВО С ОГРАНИЧЕННОЙ ОТВЕТСТВЕННОСТЬЮ</w:t>
      </w:r>
      <w:r w:rsidR="006A7D51">
        <w:rPr>
          <w:b/>
          <w:sz w:val="27"/>
          <w:szCs w:val="27"/>
        </w:rPr>
        <w:t xml:space="preserve"> «СОВА» </w:t>
      </w:r>
    </w:p>
    <w:p w:rsidR="006A7D51" w:rsidRDefault="006A7D51" w:rsidP="006A7D51"/>
    <w:p w:rsidR="006A7D51" w:rsidRDefault="006A7D51" w:rsidP="006A7D51"/>
    <w:p w:rsidR="006A7D51" w:rsidRDefault="006A7D51" w:rsidP="006A7D51"/>
    <w:p w:rsidR="006A7D51" w:rsidRDefault="006A7D51" w:rsidP="006A7D51"/>
    <w:p w:rsidR="006A7D51" w:rsidRDefault="006A7D51" w:rsidP="006A7D51"/>
    <w:p w:rsidR="006A7D51" w:rsidRDefault="006A7D51" w:rsidP="006A7D51">
      <w:r>
        <w:t xml:space="preserve">                                                                                                                   УТВЕРЖДАЮ</w:t>
      </w:r>
    </w:p>
    <w:p w:rsidR="006A7D51" w:rsidRDefault="005C6A2D" w:rsidP="006A7D5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45085</wp:posOffset>
            </wp:positionV>
            <wp:extent cx="1895475" cy="1933575"/>
            <wp:effectExtent l="19050" t="0" r="9525" b="0"/>
            <wp:wrapNone/>
            <wp:docPr id="2" name="Рисунок 0" descr="подпи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 мо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D51" w:rsidRDefault="006A7D51" w:rsidP="006A7D51"/>
    <w:p w:rsidR="006A7D51" w:rsidRDefault="005C6A2D" w:rsidP="006A7D5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59055</wp:posOffset>
            </wp:positionV>
            <wp:extent cx="1981200" cy="1285875"/>
            <wp:effectExtent l="0" t="0" r="0" b="0"/>
            <wp:wrapNone/>
            <wp:docPr id="6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D51">
        <w:t xml:space="preserve">     Генеральный директор</w:t>
      </w:r>
    </w:p>
    <w:p w:rsidR="006A7D51" w:rsidRDefault="006A7D51" w:rsidP="006A7D51">
      <w:pPr>
        <w:jc w:val="center"/>
      </w:pPr>
      <w:r>
        <w:t xml:space="preserve">                                                                                                             </w:t>
      </w:r>
      <w:r w:rsidR="00D55626">
        <w:t xml:space="preserve">                               ООО </w:t>
      </w:r>
      <w:r>
        <w:t xml:space="preserve">«СОВА»                                        </w:t>
      </w:r>
    </w:p>
    <w:p w:rsidR="006A7D51" w:rsidRDefault="006A7D51" w:rsidP="006A7D51">
      <w:pPr>
        <w:tabs>
          <w:tab w:val="left" w:pos="7740"/>
        </w:tabs>
      </w:pPr>
      <w:r>
        <w:t xml:space="preserve">                                                                                                                       </w:t>
      </w:r>
    </w:p>
    <w:p w:rsidR="006A7D51" w:rsidRDefault="006A7D51" w:rsidP="006A7D51">
      <w:pPr>
        <w:tabs>
          <w:tab w:val="left" w:pos="7740"/>
        </w:tabs>
      </w:pPr>
      <w:r>
        <w:t xml:space="preserve">                                                                                                                                                         Ротанина Я.В.</w:t>
      </w:r>
    </w:p>
    <w:p w:rsidR="006A7D51" w:rsidRDefault="006A7D51" w:rsidP="006A7D51"/>
    <w:p w:rsidR="006A7D51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D51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D51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D51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D51" w:rsidRPr="00ED6D51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Примерное положение о нормах профессиональной этики педагогических работников</w:t>
      </w:r>
    </w:p>
    <w:p w:rsidR="006A7D51" w:rsidRPr="00950D6F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7D51" w:rsidRPr="00950D6F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6A7D51" w:rsidRPr="00950D6F" w:rsidRDefault="006A7D51" w:rsidP="006A7D5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D51" w:rsidRPr="00950D6F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</w:p>
    <w:p w:rsidR="006A7D51" w:rsidRPr="009D2528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>Положение содержит нормы профессиональной этики педагогических работников,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</w:t>
      </w:r>
      <w:r w:rsidRPr="009D2528">
        <w:rPr>
          <w:rFonts w:ascii="Times New Roman" w:hAnsi="Times New Roman" w:cs="Times New Roman"/>
          <w:sz w:val="28"/>
          <w:szCs w:val="28"/>
        </w:rPr>
        <w:lastRenderedPageBreak/>
        <w:t>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6A7D51" w:rsidRPr="00950D6F" w:rsidRDefault="006A7D51" w:rsidP="006A7D5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D51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:rsidR="006A7D51" w:rsidRPr="00950D6F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7D51" w:rsidRPr="00950D6F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6A7D51" w:rsidRPr="00950D6F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6A7D51" w:rsidRPr="00950D6F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A7D51" w:rsidRPr="00950D6F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6A7D51" w:rsidRPr="00950D6F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Pr="00062213">
        <w:rPr>
          <w:rFonts w:ascii="Times New Roman" w:hAnsi="Times New Roman" w:cs="Times New Roman"/>
          <w:sz w:val="28"/>
          <w:szCs w:val="28"/>
        </w:rPr>
        <w:t>взаимодействию между обучающимися;</w:t>
      </w:r>
    </w:p>
    <w:p w:rsidR="006A7D51" w:rsidRPr="00F069F7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6A7D51" w:rsidRPr="00F069F7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6A7D51" w:rsidRPr="00F069F7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6A7D51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lastRenderedPageBreak/>
        <w:t>з)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6A7D51" w:rsidRPr="00950D6F" w:rsidRDefault="006A7D51" w:rsidP="006A7D5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D51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6A7D51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6A7D51" w:rsidRPr="00950D6F" w:rsidRDefault="006A7D51" w:rsidP="006A7D5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D51" w:rsidRPr="007A2F11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6A7D51" w:rsidRPr="001A5CC0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создаваемой в</w:t>
      </w:r>
      <w:r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865365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>ю</w:t>
      </w:r>
      <w:r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D51" w:rsidRDefault="006A7D51" w:rsidP="006A7D5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6A7D51" w:rsidRPr="007A2F11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2F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D51" w:rsidRPr="007A2F11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2F11">
        <w:rPr>
          <w:rFonts w:ascii="Times New Roman" w:hAnsi="Times New Roman" w:cs="Times New Roman"/>
          <w:sz w:val="28"/>
          <w:szCs w:val="28"/>
        </w:rPr>
        <w:t xml:space="preserve"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</w:t>
      </w:r>
      <w:r w:rsidRPr="007A2F11">
        <w:rPr>
          <w:rFonts w:ascii="Times New Roman" w:hAnsi="Times New Roman" w:cs="Times New Roman"/>
          <w:sz w:val="28"/>
          <w:szCs w:val="28"/>
        </w:rPr>
        <w:lastRenderedPageBreak/>
        <w:t>представитель выборного органа соответствующей первичной профсоюзной организации (при наличии такого органа).</w:t>
      </w:r>
    </w:p>
    <w:p w:rsidR="006A7D51" w:rsidRPr="007A2F11" w:rsidRDefault="006A7D51" w:rsidP="006A7D5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2F11">
        <w:rPr>
          <w:rFonts w:ascii="Times New Roman" w:hAnsi="Times New Roman" w:cs="Times New Roman"/>
          <w:sz w:val="28"/>
          <w:szCs w:val="28"/>
        </w:rPr>
        <w:t>. 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p w:rsidR="000724CB" w:rsidRDefault="000724CB"/>
    <w:sectPr w:rsidR="000724CB" w:rsidSect="00C7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44" w:rsidRDefault="00B16244" w:rsidP="00B216F0">
      <w:pPr>
        <w:spacing w:after="0" w:line="240" w:lineRule="auto"/>
      </w:pPr>
      <w:r>
        <w:separator/>
      </w:r>
    </w:p>
  </w:endnote>
  <w:endnote w:type="continuationSeparator" w:id="1">
    <w:p w:rsidR="00B16244" w:rsidRDefault="00B16244" w:rsidP="00B2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B162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Pr="00C735C5" w:rsidRDefault="006A7D51">
    <w:pPr>
      <w:pStyle w:val="a6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B16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44" w:rsidRDefault="00B16244" w:rsidP="00B216F0">
      <w:pPr>
        <w:spacing w:after="0" w:line="240" w:lineRule="auto"/>
      </w:pPr>
      <w:r>
        <w:separator/>
      </w:r>
    </w:p>
  </w:footnote>
  <w:footnote w:type="continuationSeparator" w:id="1">
    <w:p w:rsidR="00B16244" w:rsidRDefault="00B16244" w:rsidP="00B2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B162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B162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B162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D51"/>
    <w:rsid w:val="000724CB"/>
    <w:rsid w:val="003B0EF7"/>
    <w:rsid w:val="00560058"/>
    <w:rsid w:val="005C6A2D"/>
    <w:rsid w:val="006A7D51"/>
    <w:rsid w:val="008B6386"/>
    <w:rsid w:val="0095765A"/>
    <w:rsid w:val="00B16244"/>
    <w:rsid w:val="00B216F0"/>
    <w:rsid w:val="00D5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D51"/>
  </w:style>
  <w:style w:type="paragraph" w:styleId="a6">
    <w:name w:val="footer"/>
    <w:basedOn w:val="a"/>
    <w:link w:val="a7"/>
    <w:uiPriority w:val="99"/>
    <w:unhideWhenUsed/>
    <w:rsid w:val="006A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trah</cp:lastModifiedBy>
  <cp:revision>4</cp:revision>
  <dcterms:created xsi:type="dcterms:W3CDTF">2022-11-16T08:19:00Z</dcterms:created>
  <dcterms:modified xsi:type="dcterms:W3CDTF">2023-03-09T14:33:00Z</dcterms:modified>
</cp:coreProperties>
</file>